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27" w:rsidRPr="00A827CB" w:rsidRDefault="00874227" w:rsidP="0087422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15716">
        <w:rPr>
          <w:rFonts w:ascii="Times New Roman" w:hAnsi="Times New Roman" w:cs="Times New Roman"/>
          <w:sz w:val="28"/>
          <w:szCs w:val="28"/>
        </w:rPr>
        <w:t>Отдел контроля и надзора в области защиты населения от чрезвычайных ситуаций Службы ГО и ЧС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(далее – отдел)</w:t>
      </w:r>
      <w:r w:rsidRPr="00F15716">
        <w:rPr>
          <w:rFonts w:ascii="Times New Roman" w:hAnsi="Times New Roman" w:cs="Times New Roman"/>
          <w:sz w:val="28"/>
          <w:szCs w:val="28"/>
        </w:rPr>
        <w:t xml:space="preserve"> </w:t>
      </w:r>
      <w:r w:rsidRPr="00997EEB">
        <w:rPr>
          <w:rStyle w:val="20pt"/>
          <w:rFonts w:eastAsia="Calibri"/>
          <w:i w:val="0"/>
          <w:sz w:val="28"/>
          <w:szCs w:val="28"/>
        </w:rPr>
        <w:t>- осуществл</w:t>
      </w:r>
      <w:r>
        <w:rPr>
          <w:rStyle w:val="20pt"/>
          <w:rFonts w:eastAsia="Calibri"/>
          <w:i w:val="0"/>
          <w:sz w:val="28"/>
          <w:szCs w:val="28"/>
        </w:rPr>
        <w:t>яет</w:t>
      </w:r>
      <w:r w:rsidRPr="00997EEB">
        <w:rPr>
          <w:rStyle w:val="20pt"/>
          <w:rFonts w:eastAsia="Calibri"/>
          <w:i w:val="0"/>
          <w:sz w:val="28"/>
          <w:szCs w:val="28"/>
        </w:rPr>
        <w:t xml:space="preserve"> региональн</w:t>
      </w:r>
      <w:r>
        <w:rPr>
          <w:rStyle w:val="20pt"/>
          <w:rFonts w:eastAsia="Calibri"/>
          <w:i w:val="0"/>
          <w:sz w:val="28"/>
          <w:szCs w:val="28"/>
        </w:rPr>
        <w:t>ый</w:t>
      </w:r>
      <w:r w:rsidRPr="00997EEB">
        <w:rPr>
          <w:rStyle w:val="20pt"/>
          <w:rFonts w:eastAsia="Calibri"/>
          <w:i w:val="0"/>
          <w:sz w:val="28"/>
          <w:szCs w:val="28"/>
        </w:rPr>
        <w:t xml:space="preserve"> государственн</w:t>
      </w:r>
      <w:r>
        <w:rPr>
          <w:rStyle w:val="20pt"/>
          <w:rFonts w:eastAsia="Calibri"/>
          <w:i w:val="0"/>
          <w:sz w:val="28"/>
          <w:szCs w:val="28"/>
        </w:rPr>
        <w:t>ый надзор</w:t>
      </w:r>
      <w:r w:rsidRPr="00997EEB">
        <w:rPr>
          <w:rStyle w:val="20pt"/>
          <w:rFonts w:eastAsia="Calibri"/>
          <w:i w:val="0"/>
          <w:sz w:val="28"/>
          <w:szCs w:val="28"/>
        </w:rPr>
        <w:t xml:space="preserve"> в области защиты населения от </w:t>
      </w:r>
      <w:r>
        <w:rPr>
          <w:rStyle w:val="20pt"/>
          <w:rFonts w:eastAsia="Calibri"/>
          <w:i w:val="0"/>
          <w:sz w:val="28"/>
          <w:szCs w:val="28"/>
        </w:rPr>
        <w:t>чрезвычайных ситуаций</w:t>
      </w:r>
      <w:r w:rsidRPr="00997EEB">
        <w:rPr>
          <w:rStyle w:val="20pt"/>
          <w:rFonts w:eastAsia="Calibri"/>
          <w:i w:val="0"/>
          <w:sz w:val="28"/>
          <w:szCs w:val="28"/>
        </w:rPr>
        <w:t xml:space="preserve"> регионального, межмуниципального и муниципального характера посредством проведения плановых и внеплановых, документарных и выездных проверок </w:t>
      </w:r>
      <w:r w:rsidRPr="00A827CB">
        <w:rPr>
          <w:rFonts w:ascii="Times New Roman" w:hAnsi="Times New Roman"/>
          <w:sz w:val="28"/>
          <w:szCs w:val="28"/>
        </w:rPr>
        <w:t>выполнения органами местного самоуправления муниципальных образований Республики Тыва, юридическими лицами, индивидуальными предпринимателями и гражданами обязательных требований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EB64B5">
        <w:rPr>
          <w:rFonts w:ascii="Times New Roman" w:hAnsi="Times New Roman"/>
          <w:sz w:val="28"/>
          <w:szCs w:val="28"/>
        </w:rPr>
        <w:t>области защиты населения и территорий от чрезвычайных ситуаций регионального, межмуниципального и муниципального характера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74227" w:rsidRPr="00787B8C" w:rsidRDefault="00874227" w:rsidP="008742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87B8C">
        <w:rPr>
          <w:rFonts w:ascii="Times New Roman" w:hAnsi="Times New Roman"/>
          <w:sz w:val="28"/>
          <w:szCs w:val="28"/>
        </w:rPr>
        <w:t xml:space="preserve">В  план проверок на 2019 г. всего включено 49 объектов, из них </w:t>
      </w:r>
      <w:r w:rsidRPr="00787B8C">
        <w:rPr>
          <w:rFonts w:ascii="Times New Roman" w:hAnsi="Times New Roman"/>
          <w:b/>
          <w:bCs/>
          <w:sz w:val="28"/>
          <w:szCs w:val="28"/>
        </w:rPr>
        <w:t>высокий риск:</w:t>
      </w:r>
      <w:r w:rsidRPr="00787B8C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7B8C">
        <w:rPr>
          <w:rFonts w:ascii="Times New Roman" w:hAnsi="Times New Roman"/>
          <w:sz w:val="28"/>
          <w:szCs w:val="28"/>
        </w:rPr>
        <w:t xml:space="preserve">органов местного самоуправления  (администраций </w:t>
      </w:r>
      <w:proofErr w:type="spellStart"/>
      <w:r w:rsidRPr="00787B8C">
        <w:rPr>
          <w:rFonts w:ascii="Times New Roman" w:hAnsi="Times New Roman"/>
          <w:sz w:val="28"/>
          <w:szCs w:val="28"/>
        </w:rPr>
        <w:t>кожуунов</w:t>
      </w:r>
      <w:proofErr w:type="spellEnd"/>
      <w:r w:rsidRPr="00787B8C">
        <w:rPr>
          <w:rFonts w:ascii="Times New Roman" w:hAnsi="Times New Roman"/>
          <w:sz w:val="28"/>
          <w:szCs w:val="28"/>
        </w:rPr>
        <w:t xml:space="preserve"> – 7, городской округ – 1), </w:t>
      </w:r>
      <w:r w:rsidRPr="00787B8C">
        <w:rPr>
          <w:rFonts w:ascii="Times New Roman" w:hAnsi="Times New Roman"/>
          <w:b/>
          <w:bCs/>
          <w:sz w:val="28"/>
          <w:szCs w:val="28"/>
        </w:rPr>
        <w:t>значительный риск:</w:t>
      </w:r>
      <w:r w:rsidRPr="00787B8C">
        <w:rPr>
          <w:rFonts w:ascii="Times New Roman" w:hAnsi="Times New Roman"/>
          <w:sz w:val="28"/>
          <w:szCs w:val="28"/>
        </w:rPr>
        <w:t xml:space="preserve"> организации, входящие в состав </w:t>
      </w:r>
      <w:proofErr w:type="spellStart"/>
      <w:r w:rsidRPr="00787B8C">
        <w:rPr>
          <w:rFonts w:ascii="Times New Roman" w:hAnsi="Times New Roman"/>
          <w:sz w:val="28"/>
          <w:szCs w:val="28"/>
        </w:rPr>
        <w:t>кожуунных</w:t>
      </w:r>
      <w:proofErr w:type="spellEnd"/>
      <w:r w:rsidRPr="00787B8C">
        <w:rPr>
          <w:rFonts w:ascii="Times New Roman" w:hAnsi="Times New Roman"/>
          <w:sz w:val="28"/>
          <w:szCs w:val="28"/>
        </w:rPr>
        <w:t xml:space="preserve"> звеньев ТП РСЧС Республики Тыва –</w:t>
      </w:r>
      <w:r w:rsidRPr="00787B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87B8C">
        <w:rPr>
          <w:rFonts w:ascii="Times New Roman" w:hAnsi="Times New Roman"/>
          <w:sz w:val="28"/>
          <w:szCs w:val="28"/>
        </w:rPr>
        <w:t xml:space="preserve">14 (объектов жизнеобеспечения – 10, объектов здравоохранения – 4), </w:t>
      </w:r>
      <w:r w:rsidRPr="00787B8C">
        <w:rPr>
          <w:rFonts w:ascii="Times New Roman" w:hAnsi="Times New Roman"/>
          <w:b/>
          <w:bCs/>
          <w:sz w:val="28"/>
          <w:szCs w:val="28"/>
        </w:rPr>
        <w:t>средний риск</w:t>
      </w:r>
      <w:r w:rsidRPr="00787B8C">
        <w:rPr>
          <w:rFonts w:ascii="Times New Roman" w:hAnsi="Times New Roman"/>
          <w:sz w:val="28"/>
          <w:szCs w:val="28"/>
        </w:rPr>
        <w:t>: юридические лица, эксплуатирующие объекты, на которых возможно ЧС регионального, межмуниципального, муниципального характера 27 (объектов, прилегающих к лесным массивам – 10, объектов, расположенных в лесных массивах – 9, объектов социального значения – 2, пункты временного размещения – 2, объектов, на котором возможно возникновение ЧС межмуниципального характера – 2., объектов, на котором возможно возникновение ЧС муниципального характера – 2).</w:t>
      </w:r>
    </w:p>
    <w:p w:rsidR="00874227" w:rsidRDefault="00874227" w:rsidP="0087422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5157B">
        <w:rPr>
          <w:rFonts w:ascii="Times New Roman" w:eastAsia="Calibri" w:hAnsi="Times New Roman"/>
          <w:sz w:val="28"/>
          <w:szCs w:val="28"/>
          <w:lang w:eastAsia="en-US"/>
        </w:rPr>
        <w:t xml:space="preserve">Согласно плану проверок юридических лиц и индивидуальных предпринимателей, на 2019 год всего запланировано – 49 объектов, из них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за 9 месяцев 2019г.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проведено  –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43</w:t>
      </w:r>
      <w:r w:rsidRPr="0055157B">
        <w:rPr>
          <w:rFonts w:ascii="Times New Roman" w:eastAsia="Calibri" w:hAnsi="Times New Roman"/>
          <w:sz w:val="28"/>
          <w:szCs w:val="28"/>
          <w:lang w:eastAsia="en-US"/>
        </w:rPr>
        <w:t>, исключено – 6, на проверке –</w:t>
      </w:r>
      <w:r w:rsidRPr="0055157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1</w:t>
      </w:r>
      <w:r w:rsidRPr="0055157B">
        <w:rPr>
          <w:rFonts w:ascii="Times New Roman" w:eastAsia="Calibri" w:hAnsi="Times New Roman"/>
          <w:sz w:val="28"/>
          <w:szCs w:val="28"/>
          <w:lang w:eastAsia="en-US"/>
        </w:rPr>
        <w:t xml:space="preserve"> (ГКУ Республики Тыва «</w:t>
      </w:r>
      <w:proofErr w:type="spellStart"/>
      <w:r w:rsidRPr="0055157B">
        <w:rPr>
          <w:rFonts w:ascii="Times New Roman" w:eastAsia="Calibri" w:hAnsi="Times New Roman"/>
          <w:sz w:val="28"/>
          <w:szCs w:val="28"/>
          <w:lang w:eastAsia="en-US"/>
        </w:rPr>
        <w:t>Барун-Хемчикское</w:t>
      </w:r>
      <w:proofErr w:type="spellEnd"/>
      <w:r w:rsidRPr="0055157B">
        <w:rPr>
          <w:rFonts w:ascii="Times New Roman" w:eastAsia="Calibri" w:hAnsi="Times New Roman"/>
          <w:sz w:val="28"/>
          <w:szCs w:val="28"/>
          <w:lang w:eastAsia="en-US"/>
        </w:rPr>
        <w:t xml:space="preserve"> лесничество»).</w:t>
      </w:r>
    </w:p>
    <w:p w:rsidR="00874227" w:rsidRDefault="00874227" w:rsidP="00874227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74227" w:rsidRPr="00233412" w:rsidRDefault="00874227" w:rsidP="0087422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33412">
        <w:rPr>
          <w:rFonts w:ascii="Times New Roman" w:eastAsia="Calibri" w:hAnsi="Times New Roman"/>
          <w:sz w:val="28"/>
          <w:szCs w:val="28"/>
          <w:lang w:eastAsia="en-US"/>
        </w:rPr>
        <w:tab/>
      </w:r>
    </w:p>
    <w:p w:rsidR="00874227" w:rsidRPr="00394C73" w:rsidRDefault="00874227" w:rsidP="0087422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highlight w:val="yellow"/>
          <w:lang w:eastAsia="en-US"/>
        </w:rPr>
      </w:pPr>
      <w:r>
        <w:rPr>
          <w:b/>
          <w:noProof/>
        </w:rPr>
        <w:drawing>
          <wp:inline distT="0" distB="0" distL="0" distR="0" wp14:anchorId="4A70BFB6" wp14:editId="62777564">
            <wp:extent cx="6145530" cy="210121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74227" w:rsidRDefault="00874227" w:rsidP="00874227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74227" w:rsidRPr="0055157B" w:rsidRDefault="00874227" w:rsidP="0087422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C4D01">
        <w:rPr>
          <w:rFonts w:ascii="Times New Roman" w:eastAsia="Calibri" w:hAnsi="Times New Roman"/>
          <w:sz w:val="28"/>
          <w:szCs w:val="28"/>
          <w:lang w:eastAsia="en-US"/>
        </w:rPr>
        <w:t>По итогам проверок на</w:t>
      </w:r>
      <w:r w:rsidRPr="0055157B">
        <w:rPr>
          <w:rFonts w:ascii="Times New Roman" w:eastAsia="Calibri" w:hAnsi="Times New Roman"/>
          <w:sz w:val="28"/>
          <w:szCs w:val="28"/>
          <w:lang w:eastAsia="en-US"/>
        </w:rPr>
        <w:t xml:space="preserve"> рассмотрение мировым судьям нап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равлено 13 административных дел, из которых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рассмотрено  –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12</w:t>
      </w:r>
      <w:r w:rsidRPr="0055157B">
        <w:rPr>
          <w:rFonts w:ascii="Times New Roman" w:eastAsia="Calibri" w:hAnsi="Times New Roman"/>
          <w:sz w:val="28"/>
          <w:szCs w:val="28"/>
          <w:lang w:eastAsia="en-US"/>
        </w:rPr>
        <w:t>, вынесено постановлений по делам об адми</w:t>
      </w:r>
      <w:r>
        <w:rPr>
          <w:rFonts w:ascii="Times New Roman" w:eastAsia="Calibri" w:hAnsi="Times New Roman"/>
          <w:sz w:val="28"/>
          <w:szCs w:val="28"/>
          <w:lang w:eastAsia="en-US"/>
        </w:rPr>
        <w:t>нистративных правонарушениях – 8</w:t>
      </w:r>
      <w:r w:rsidRPr="0055157B">
        <w:rPr>
          <w:rFonts w:ascii="Times New Roman" w:eastAsia="Calibri" w:hAnsi="Times New Roman"/>
          <w:sz w:val="28"/>
          <w:szCs w:val="28"/>
          <w:lang w:eastAsia="en-US"/>
        </w:rPr>
        <w:t xml:space="preserve">, наложено административных штрафов на общую сумму – </w:t>
      </w:r>
      <w:r>
        <w:rPr>
          <w:rFonts w:ascii="Times New Roman" w:eastAsia="Calibri" w:hAnsi="Times New Roman"/>
          <w:sz w:val="28"/>
          <w:szCs w:val="28"/>
          <w:lang w:eastAsia="en-US"/>
        </w:rPr>
        <w:t>150</w:t>
      </w:r>
      <w:r w:rsidRPr="0055157B">
        <w:rPr>
          <w:rFonts w:ascii="Times New Roman" w:eastAsia="Calibri" w:hAnsi="Times New Roman"/>
          <w:sz w:val="28"/>
          <w:szCs w:val="28"/>
          <w:lang w:eastAsia="en-US"/>
        </w:rPr>
        <w:t xml:space="preserve"> тыс. рублей, возвращено – 3, прекращено – 1, на рассмотрении – 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Pr="0055157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74227" w:rsidRDefault="00874227" w:rsidP="00874227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</w:t>
      </w:r>
      <w:r w:rsidRPr="0055157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а отчетный период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</w:t>
      </w:r>
      <w:r w:rsidRPr="0055157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ыдано объектам надзора 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39 </w:t>
      </w:r>
      <w:r w:rsidRPr="0055157B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предписаний об уст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ранении выявленных нарушений</w:t>
      </w:r>
      <w:r w:rsidRPr="0055157B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, из них 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исполнено  -</w:t>
      </w:r>
      <w:proofErr w:type="gramEnd"/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31, на исполнении – 4, не исполнено – 4 </w:t>
      </w:r>
      <w:r w:rsidRPr="002139D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(</w:t>
      </w:r>
      <w:r w:rsidRPr="002139D9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администрация </w:t>
      </w:r>
      <w:proofErr w:type="spellStart"/>
      <w:r w:rsidRPr="002139D9">
        <w:rPr>
          <w:rFonts w:ascii="Times New Roman" w:eastAsia="Calibri" w:hAnsi="Times New Roman"/>
          <w:i/>
          <w:sz w:val="28"/>
          <w:szCs w:val="28"/>
          <w:lang w:eastAsia="en-US"/>
        </w:rPr>
        <w:t>Ка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>а-Хемского</w:t>
      </w:r>
      <w:proofErr w:type="spellEnd"/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района, администрация </w:t>
      </w:r>
      <w:proofErr w:type="spellStart"/>
      <w:r>
        <w:rPr>
          <w:rFonts w:ascii="Times New Roman" w:eastAsia="Calibri" w:hAnsi="Times New Roman"/>
          <w:i/>
          <w:sz w:val="28"/>
          <w:szCs w:val="28"/>
          <w:lang w:eastAsia="en-US"/>
        </w:rPr>
        <w:t>Чеди-Хольского</w:t>
      </w:r>
      <w:proofErr w:type="spellEnd"/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i/>
          <w:sz w:val="28"/>
          <w:szCs w:val="28"/>
          <w:lang w:eastAsia="en-US"/>
        </w:rPr>
        <w:t>кожууна</w:t>
      </w:r>
      <w:proofErr w:type="spellEnd"/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, МБОУ ДО ДЮСШ </w:t>
      </w:r>
      <w:proofErr w:type="spellStart"/>
      <w:r>
        <w:rPr>
          <w:rFonts w:ascii="Times New Roman" w:eastAsia="Calibri" w:hAnsi="Times New Roman"/>
          <w:i/>
          <w:sz w:val="28"/>
          <w:szCs w:val="28"/>
          <w:lang w:eastAsia="en-US"/>
        </w:rPr>
        <w:t>Чеди-Хольского</w:t>
      </w:r>
      <w:proofErr w:type="spellEnd"/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i/>
          <w:sz w:val="28"/>
          <w:szCs w:val="28"/>
          <w:lang w:eastAsia="en-US"/>
        </w:rPr>
        <w:t>кожууна</w:t>
      </w:r>
      <w:proofErr w:type="spellEnd"/>
      <w:r>
        <w:rPr>
          <w:rFonts w:ascii="Times New Roman" w:eastAsia="Calibri" w:hAnsi="Times New Roman"/>
          <w:i/>
          <w:sz w:val="28"/>
          <w:szCs w:val="28"/>
          <w:lang w:eastAsia="en-US"/>
        </w:rPr>
        <w:t>, ГКУ Республики Тыва «</w:t>
      </w:r>
      <w:proofErr w:type="spellStart"/>
      <w:r>
        <w:rPr>
          <w:rFonts w:ascii="Times New Roman" w:eastAsia="Calibri" w:hAnsi="Times New Roman"/>
          <w:i/>
          <w:sz w:val="28"/>
          <w:szCs w:val="28"/>
          <w:lang w:eastAsia="en-US"/>
        </w:rPr>
        <w:t>Чадаанское</w:t>
      </w:r>
      <w:proofErr w:type="spellEnd"/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лесничество»</w:t>
      </w:r>
      <w:r w:rsidRPr="002139D9">
        <w:rPr>
          <w:rFonts w:ascii="Times New Roman" w:eastAsia="Calibri" w:hAnsi="Times New Roman"/>
          <w:color w:val="000000"/>
          <w:sz w:val="28"/>
          <w:szCs w:val="28"/>
          <w:lang w:eastAsia="en-US"/>
        </w:rPr>
        <w:t>)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</w:t>
      </w:r>
    </w:p>
    <w:p w:rsidR="00874227" w:rsidRDefault="00874227" w:rsidP="008742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Проверки проводились в соответствии с требованиями законодательства Российской Федерации о порядке их проведения, к должностным лицам, осуществляющим плановые проверки, со стороны объектов государственного надзора претензий не поступало.</w:t>
      </w:r>
    </w:p>
    <w:p w:rsidR="00874227" w:rsidRPr="00BD059C" w:rsidRDefault="00874227" w:rsidP="00874227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D059C">
        <w:rPr>
          <w:sz w:val="28"/>
          <w:szCs w:val="28"/>
        </w:rPr>
        <w:t xml:space="preserve">Причины нарушений является не соблюдение обязательных требований, установленных Федеральным законом </w:t>
      </w:r>
      <w:r>
        <w:rPr>
          <w:sz w:val="28"/>
          <w:szCs w:val="28"/>
        </w:rPr>
        <w:t xml:space="preserve">от 21.12.1994г. </w:t>
      </w:r>
      <w:r w:rsidRPr="00BD059C">
        <w:rPr>
          <w:sz w:val="28"/>
          <w:szCs w:val="28"/>
        </w:rPr>
        <w:t xml:space="preserve">№ </w:t>
      </w:r>
      <w:r>
        <w:rPr>
          <w:sz w:val="28"/>
          <w:szCs w:val="28"/>
        </w:rPr>
        <w:t>68</w:t>
      </w:r>
      <w:r w:rsidRPr="00BD059C">
        <w:rPr>
          <w:sz w:val="28"/>
          <w:szCs w:val="28"/>
        </w:rPr>
        <w:t xml:space="preserve">-ФЗ </w:t>
      </w:r>
      <w:r>
        <w:rPr>
          <w:sz w:val="28"/>
          <w:szCs w:val="28"/>
        </w:rPr>
        <w:t>«О защите населения и территорий от чрезвычайных ситуаций природного и техногенного характера» (далее – Федеральный закон № 68-ФЗ)</w:t>
      </w:r>
      <w:r w:rsidRPr="00BD059C">
        <w:rPr>
          <w:sz w:val="28"/>
          <w:szCs w:val="28"/>
        </w:rPr>
        <w:t>.</w:t>
      </w:r>
    </w:p>
    <w:p w:rsidR="00874227" w:rsidRDefault="00874227" w:rsidP="00874227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BD059C">
        <w:rPr>
          <w:sz w:val="28"/>
          <w:szCs w:val="28"/>
        </w:rPr>
        <w:t xml:space="preserve">Рекомендуется изучение обязательных требований, установленных Федеральным законом № </w:t>
      </w:r>
      <w:r>
        <w:rPr>
          <w:sz w:val="28"/>
          <w:szCs w:val="28"/>
        </w:rPr>
        <w:t>68</w:t>
      </w:r>
      <w:r w:rsidRPr="00BD059C">
        <w:rPr>
          <w:sz w:val="28"/>
          <w:szCs w:val="28"/>
        </w:rPr>
        <w:t>-ФЗ и иных н</w:t>
      </w:r>
      <w:r>
        <w:rPr>
          <w:sz w:val="28"/>
          <w:szCs w:val="28"/>
        </w:rPr>
        <w:t>ормативно-правовых актов в области защиты населения от ЧС</w:t>
      </w:r>
      <w:r w:rsidRPr="00BD059C">
        <w:rPr>
          <w:sz w:val="28"/>
          <w:szCs w:val="28"/>
        </w:rPr>
        <w:t>.</w:t>
      </w:r>
    </w:p>
    <w:p w:rsidR="00195E25" w:rsidRDefault="00195E25" w:rsidP="00874227">
      <w:pPr>
        <w:pStyle w:val="a3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Невыполнение предусмотренных законодательством обязанностей по защите населения и территорий от чрезвычайных ситуаций природного и техногенного характера, а равно невыполнение требований </w:t>
      </w:r>
      <w:r>
        <w:rPr>
          <w:sz w:val="28"/>
          <w:szCs w:val="28"/>
        </w:rPr>
        <w:t>норм</w:t>
      </w:r>
      <w:r>
        <w:rPr>
          <w:sz w:val="28"/>
          <w:szCs w:val="28"/>
        </w:rPr>
        <w:t xml:space="preserve"> и правил предусмотрена административная ответственность в соответствии нормами КоАП РФ. </w:t>
      </w:r>
    </w:p>
    <w:p w:rsidR="00874227" w:rsidRPr="00BD059C" w:rsidRDefault="00874227" w:rsidP="008742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74227" w:rsidRPr="00BD059C" w:rsidRDefault="00874227" w:rsidP="0087422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74227" w:rsidRPr="00BD059C" w:rsidRDefault="00874227" w:rsidP="008742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4227" w:rsidRPr="00BD059C" w:rsidRDefault="00874227" w:rsidP="00874227"/>
    <w:p w:rsidR="00134D7E" w:rsidRPr="00874227" w:rsidRDefault="00195E25" w:rsidP="00874227"/>
    <w:sectPr w:rsidR="00134D7E" w:rsidRPr="00874227" w:rsidSect="006F32F1">
      <w:pgSz w:w="11906" w:h="16838"/>
      <w:pgMar w:top="851" w:right="707" w:bottom="142" w:left="1276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D3"/>
    <w:rsid w:val="00040AD3"/>
    <w:rsid w:val="00195E25"/>
    <w:rsid w:val="00874227"/>
    <w:rsid w:val="00987391"/>
    <w:rsid w:val="00D1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8B51F"/>
  <w15:chartTrackingRefBased/>
  <w15:docId w15:val="{E7B44D02-46EB-456D-9C62-14A1658F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22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A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040AD3"/>
    <w:rPr>
      <w:b/>
      <w:bCs/>
    </w:rPr>
  </w:style>
  <w:style w:type="paragraph" w:styleId="a5">
    <w:name w:val="No Spacing"/>
    <w:uiPriority w:val="1"/>
    <w:qFormat/>
    <w:rsid w:val="00874227"/>
    <w:pPr>
      <w:spacing w:after="0" w:line="240" w:lineRule="auto"/>
    </w:pPr>
  </w:style>
  <w:style w:type="character" w:customStyle="1" w:styleId="20pt">
    <w:name w:val="Основной текст (2) + Не курсив;Интервал 0 pt"/>
    <w:rsid w:val="008742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Проверки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444050720276755E-2"/>
          <c:y val="0.26602728906583711"/>
          <c:w val="0.93803911336310986"/>
          <c:h val="0.417673686387973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 начала года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42</a:t>
                    </a:r>
                  </a:p>
                </c:rich>
              </c:tx>
              <c:spPr>
                <a:noFill/>
                <a:ln w="25352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D0D-4C82-935D-9D309FEBEB0E}"/>
                </c:ext>
              </c:extLst>
            </c:dLbl>
            <c:dLbl>
              <c:idx val="1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1</a:t>
                    </a:r>
                  </a:p>
                </c:rich>
              </c:tx>
              <c:spPr>
                <a:noFill/>
                <a:ln w="25352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D0D-4C82-935D-9D309FEBEB0E}"/>
                </c:ext>
              </c:extLst>
            </c:dLbl>
            <c:dLbl>
              <c:idx val="2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/>
                    </a:pPr>
                    <a:r>
                      <a:rPr lang="en-US"/>
                      <a:t>37</a:t>
                    </a:r>
                  </a:p>
                </c:rich>
              </c:tx>
              <c:spPr>
                <a:noFill/>
                <a:ln w="25352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D0D-4C82-935D-9D309FEBEB0E}"/>
                </c:ext>
              </c:extLst>
            </c:dLbl>
            <c:spPr>
              <a:noFill/>
              <a:ln w="2535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Составлено актов</c:v>
                </c:pt>
                <c:pt idx="1">
                  <c:v>Внеплановые проверки </c:v>
                </c:pt>
                <c:pt idx="2">
                  <c:v>Выписаны предписаний</c:v>
                </c:pt>
                <c:pt idx="3">
                  <c:v>Протоколов</c:v>
                </c:pt>
              </c:strCache>
            </c:strRef>
          </c:cat>
          <c:val>
            <c:numRef>
              <c:f>Лист1!$B$2:$B$6</c:f>
              <c:numCache>
                <c:formatCode>\О\с\н\о\в\н\о\й</c:formatCode>
                <c:ptCount val="5"/>
                <c:pt idx="0">
                  <c:v>44</c:v>
                </c:pt>
                <c:pt idx="1">
                  <c:v>0</c:v>
                </c:pt>
                <c:pt idx="2">
                  <c:v>39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D0D-4C82-935D-9D309FEBEB0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 отчетный период</c:v>
                </c:pt>
              </c:strCache>
            </c:strRef>
          </c:tx>
          <c:invertIfNegative val="0"/>
          <c:dLbls>
            <c:spPr>
              <a:noFill/>
              <a:ln w="2535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0">
                  <c:v>Составлено актов</c:v>
                </c:pt>
                <c:pt idx="1">
                  <c:v>Внеплановые проверки </c:v>
                </c:pt>
                <c:pt idx="2">
                  <c:v>Выписаны предписаний</c:v>
                </c:pt>
                <c:pt idx="3">
                  <c:v>Протоколов</c:v>
                </c:pt>
              </c:strCache>
            </c:strRef>
          </c:cat>
          <c:val>
            <c:numRef>
              <c:f>Лист1!$C$2:$C$6</c:f>
              <c:numCache>
                <c:formatCode>\О\с\н\о\в\н\о\й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D0D-4C82-935D-9D309FEBEB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9902104"/>
        <c:axId val="1"/>
        <c:axId val="0"/>
      </c:bar3DChart>
      <c:catAx>
        <c:axId val="99902104"/>
        <c:scaling>
          <c:orientation val="minMax"/>
        </c:scaling>
        <c:delete val="0"/>
        <c:axPos val="b"/>
        <c:numFmt formatCode="\О\с\н\о\в\н\о\й" sourceLinked="0"/>
        <c:majorTickMark val="none"/>
        <c:minorTickMark val="none"/>
        <c:tickLblPos val="nextTo"/>
        <c:txPr>
          <a:bodyPr rot="-900000"/>
          <a:lstStyle/>
          <a:p>
            <a:pPr>
              <a:defRPr/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numFmt formatCode="\О\с\н\о\в\н\о\й" sourceLinked="1"/>
        <c:majorTickMark val="out"/>
        <c:minorTickMark val="none"/>
        <c:tickLblPos val="nextTo"/>
        <c:crossAx val="99902104"/>
        <c:crosses val="autoZero"/>
        <c:crossBetween val="between"/>
      </c:valAx>
      <c:spPr>
        <a:noFill/>
        <a:ln w="25352">
          <a:noFill/>
        </a:ln>
      </c:spPr>
    </c:plotArea>
    <c:legend>
      <c:legendPos val="t"/>
      <c:layout>
        <c:manualLayout>
          <c:xMode val="edge"/>
          <c:yMode val="edge"/>
          <c:x val="0.29020955976717422"/>
          <c:y val="0.18132676543394161"/>
          <c:w val="0.41958088046565156"/>
          <c:h val="0.1052903932032192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2019-11-08T02:18:00Z</dcterms:created>
  <dcterms:modified xsi:type="dcterms:W3CDTF">2019-11-08T07:46:00Z</dcterms:modified>
</cp:coreProperties>
</file>